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2024-09-23</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1" name="Picture"/>
                  <a:graphic>
                    <a:graphicData uri="http://schemas.openxmlformats.org/drawingml/2006/picture">
                      <pic:pic>
                        <pic:nvPicPr>
                          <pic:cNvPr descr="/Users/tanyastrydom/Applications/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26"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An awareness of variance in the way a food web can be defined is critical as it represents the</w:t>
      </w:r>
      <w:r>
        <w:t xml:space="preserve"> </w:t>
      </w:r>
      <w:r>
        <w:t xml:space="preserve">‘</w:t>
      </w:r>
      <w:r>
        <w:t xml:space="preserve">object</w:t>
      </w:r>
      <w:r>
        <w:t xml:space="preserve">’</w:t>
      </w:r>
      <w:r>
        <w:t xml:space="preserve"> </w:t>
      </w:r>
      <w:r>
        <w:t xml:space="preserve">that is used to make inferences either about the interactions between species, or how the structure influences ecosystem level processes. One thus needs to be aware of both the criteria that is used to define nodes and edges, and what processes or mechanisms the aggregation of the two represents, as this will ultimately determine and delimit the way in which a network should be used.</w:t>
      </w:r>
    </w:p>
    <w:bookmarkStart w:id="23"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3"/>
    <w:bookmarkStart w:id="24"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24"/>
    <w:bookmarkStart w:id="25"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[12]</w:t>
      </w:r>
      <w:r>
        <w:t xml:space="preserve">, and realised networks; which is the subset of interactions in a metaweb that are</w:t>
      </w:r>
      <w:r>
        <w:t xml:space="preserve"> </w:t>
      </w:r>
      <w:r>
        <w:rPr>
          <w:iCs/>
          <w:i/>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[4]</w:t>
      </w:r>
      <w:r>
        <w:t xml:space="preserve">, or an idea of the</w:t>
      </w:r>
      <w:r>
        <w:t xml:space="preserve"> </w:t>
      </w:r>
      <w:r>
        <w:rPr>
          <w:iCs/>
          <w:i/>
        </w:rPr>
        <w:t xml:space="preserve">complete</w:t>
      </w:r>
      <w:r>
        <w:t xml:space="preserve"> </w:t>
      </w:r>
      <w:r>
        <w:t xml:space="preserve">diet of a species</w:t>
      </w:r>
      <w:r>
        <w:t xml:space="preserve"> </w:t>
      </w:r>
      <w:r>
        <w:t xml:space="preserve">[17]</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 include species that do not co-occur (although this would require some degree of prediction/assumption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Cs/>
          <w:i/>
        </w:rPr>
        <w:t xml:space="preserve">realisation</w:t>
      </w:r>
      <w:r>
        <w:t xml:space="preserve"> </w:t>
      </w:r>
      <w:r>
        <w:t xml:space="preserve">of an interaction. Thus, metawebs and realised networks are determined and constrained by a different set of assumptions as to what processes are determining the presence/absence of an interaction between two species as well as the resulting network structure.</w:t>
      </w:r>
    </w:p>
    <w:bookmarkEnd w:id="25"/>
    <w:bookmarkEnd w:id="26"/>
    <w:bookmarkStart w:id="32"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five-tier conceptualization of networks: evolutionary compatibility, co-occurrence, feasibility, abundance, predator choice, and non-trophic interactions. In the following sections we review each of these and then provide a synthesis among them.</w:t>
      </w:r>
    </w:p>
    <w:bookmarkStart w:id="31"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w:t>
      </w:r>
      <w:r>
        <w:t xml:space="preserve"> </w:t>
      </w:r>
      <w:r>
        <w:rPr>
          <w:strike/>
        </w:rPr>
        <w:t xml:space="preserve">arguably</w:t>
      </w:r>
      <w:r>
        <w:t xml:space="preserve">, no, for sure even empirical data). This means also the interplay of the two,</w:t>
      </w:r>
      <w:r>
        <w:t xml:space="preserve"> </w:t>
      </w:r>
      <w:r>
        <w:rPr>
          <w:iCs/>
          <w:i/>
        </w:rPr>
        <w:t xml:space="preserve">i.e.,</w:t>
      </w:r>
      <w:r>
        <w:t xml:space="preserve"> </w:t>
      </w:r>
      <w:r>
        <w:t xml:space="preserve">the use of models to</w:t>
      </w:r>
      <w:r>
        <w:t xml:space="preserve"> </w:t>
      </w:r>
      <w:r>
        <w:t xml:space="preserve">‘</w:t>
      </w:r>
      <w:r>
        <w:t xml:space="preserve">gap fill</w:t>
      </w:r>
      <w:r>
        <w:t xml:space="preserve">’</w:t>
      </w:r>
      <w:r>
        <w:t xml:space="preserve"> </w:t>
      </w:r>
      <w:r>
        <w:t xml:space="preserve">within existing empirical dataset</w:t>
      </w:r>
      <w:r>
        <w:t xml:space="preserve"> </w:t>
      </w:r>
      <w:r>
        <w:t xml:space="preserve">[18,19]</w:t>
      </w:r>
      <w:r>
        <w:t xml:space="preserve">. Ultimately when we put this all together it will influence how we can (and should) use the resulting network. Here we present</w:t>
      </w:r>
      <w:r>
        <w:t xml:space="preserve"> </w:t>
      </w:r>
      <w:hyperlink w:anchor="fig-feasibility">
        <w:r>
          <w:rPr>
            <w:rStyle w:val="Hyperlink"/>
          </w:rPr>
          <w:t xml:space="preserve">Figure 1</w:t>
        </w:r>
      </w:hyperlink>
      <w:r>
        <w:t xml:space="preserve"> </w:t>
      </w:r>
      <w:r>
        <w:t xml:space="preserve">some of the processes that have been shown to influence either/or the feasibility (possibility) of an interaction occurring between two species or if a feasible interaction is realised (likelihood of realisation) within the specific environmental/community context. Of course these processes do not function in a vacuum and do interact with/influence one another but it is still beneficial to present them as such as these are often the underlying processes that influence model development, the criteria for data collection in the field, and the scale of organisation for which they are relevant (species, population, community).</w:t>
      </w:r>
    </w:p>
    <w:tbl>
      <w:tblPr>
        <w:tblStyle w:val="Table"/>
        <w:tblW w:type="pct" w:w="5000"/>
        <w:tblLook w:firstRow="0" w:lastRow="0" w:firstColumn="0" w:lastColumn="0" w:noHBand="0" w:noVBand="0" w:val="0000"/>
        <w:jc w:val="start"/>
        <w:tblLayout w:type="fixed"/>
      </w:tblPr>
      <w:tblGrid>
        <w:gridCol w:w="7920"/>
      </w:tblGrid>
      <w:tr>
        <w:tc>
          <w:tcPr/>
          <w:bookmarkStart w:id="30" w:name="fig-feasibility"/>
          <w:p>
            <w:pPr>
              <w:pStyle w:val="Compact"/>
              <w:jc w:val="center"/>
            </w:pPr>
            <w:r>
              <w:drawing>
                <wp:inline>
                  <wp:extent cx="5334000" cy="4124472"/>
                  <wp:effectExtent b="0" l="0" r="0" t="0"/>
                  <wp:docPr descr="" title="" id="28" name="Picture"/>
                  <a:graphic>
                    <a:graphicData uri="http://schemas.openxmlformats.org/drawingml/2006/picture">
                      <pic:pic>
                        <pic:nvPicPr>
                          <pic:cNvPr descr="images/concept_v2.png" id="29" name="Picture"/>
                          <pic:cNvPicPr>
                            <a:picLocks noChangeArrowheads="1" noChangeAspect="1"/>
                          </pic:cNvPicPr>
                        </pic:nvPicPr>
                        <pic:blipFill>
                          <a:blip r:embed="rId27"/>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30"/>
        </w:tc>
      </w:tr>
    </w:tbl>
    <w:p>
      <w:pPr>
        <w:pStyle w:val="BodyText"/>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[20–22]</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[23,24]</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[25]</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w:t>
      </w:r>
      <w:r>
        <w:rPr>
          <w:bCs/>
          <w:b/>
        </w:rPr>
        <w:t xml:space="preserve">dansereauSpatiallyExplicitPredictions2023?</w:t>
      </w:r>
      <w:r>
        <w:t xml:space="preserve">]</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[27]</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Cs/>
          <w:i/>
        </w:rPr>
        <w:t xml:space="preserve">sensu</w:t>
      </w:r>
      <w:r>
        <w:t xml:space="preserve"> </w:t>
      </w:r>
      <w:r>
        <w:t xml:space="preserve">neutral processes and have been formalised with the neutral model</w:t>
      </w:r>
      <w:r>
        <w:t xml:space="preserve"> </w:t>
      </w:r>
      <w:r>
        <w:t xml:space="preserve">[28]</w:t>
      </w:r>
      <w:r>
        <w:t xml:space="preserve">, as well as statistical tools</w:t>
      </w:r>
      <w:r>
        <w:t xml:space="preserve"> </w:t>
      </w:r>
      <w:r>
        <w:t xml:space="preserve">[29]</w:t>
      </w:r>
      <w:r>
        <w:t xml:space="preserve">. Alternatively the abundance of species in a community can influence which interactions are ultimately realised</w:t>
      </w:r>
      <w:r>
        <w:t xml:space="preserve"> </w:t>
      </w:r>
      <w:r>
        <w:t xml:space="preserve">[15,30]</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 In terms of formalising these processes in the context of predicting networks using diet models</w:t>
      </w:r>
      <w:r>
        <w:t xml:space="preserve"> </w:t>
      </w:r>
      <w:r>
        <w:t xml:space="preserve">[33,34]</w:t>
      </w:r>
      <w:r>
        <w:t xml:space="preserve"> </w:t>
      </w:r>
      <w:r>
        <w:t xml:space="preserve">that have predator choice determined by the handling time, energy content, prey density, and predator attack rate.</w:t>
      </w:r>
      <w:r>
        <w:t xml:space="preserve"> </w:t>
      </w:r>
      <w:r>
        <w:t xml:space="preserve">[35]</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[36]</w:t>
      </w:r>
      <w:r>
        <w:t xml:space="preserve">.</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[37,38]</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[39,40]</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Cs/>
          <w:b/>
        </w:rPr>
        <w:t xml:space="preserve">downsampling paragraph??</w:t>
      </w:r>
    </w:p>
    <w:bookmarkEnd w:id="31"/>
    <w:bookmarkEnd w:id="32"/>
    <w:bookmarkStart w:id="38"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Cs/>
          <w:i/>
        </w:rPr>
        <w:t xml:space="preserve">metawebs</w:t>
      </w:r>
      <w:r>
        <w:t xml:space="preserve">, which is essentially a list of all interactions that are</w:t>
      </w:r>
      <w:r>
        <w:t xml:space="preserve"> </w:t>
      </w:r>
      <w:r>
        <w:rPr>
          <w:iCs/>
          <w:i/>
        </w:rPr>
        <w:t xml:space="preserve">possible</w:t>
      </w:r>
      <w:r>
        <w:t xml:space="preserve"> </w:t>
      </w:r>
      <w:r>
        <w:t xml:space="preserve">for a specific community (</w:t>
      </w:r>
      <w:r>
        <w:rPr>
          <w:iCs/>
          <w:i/>
        </w:rPr>
        <w:t xml:space="preserve">i.e.,</w:t>
      </w:r>
      <w:r>
        <w:t xml:space="preserve"> </w:t>
      </w:r>
      <w:r>
        <w:t xml:space="preserve">at the scale of the species pairs), or being able to predict location specific,</w:t>
      </w:r>
      <w:r>
        <w:t xml:space="preserve"> </w:t>
      </w:r>
      <w:r>
        <w:rPr>
          <w:iCs/>
          <w:i/>
        </w:rPr>
        <w:t xml:space="preserve">realised</w:t>
      </w:r>
      <w:r>
        <w:t xml:space="preserve">, networks for the community (</w:t>
      </w:r>
      <w:r>
        <w:rPr>
          <w:iCs/>
          <w:i/>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[41]</w:t>
      </w:r>
      <w:r>
        <w:t xml:space="preserve">. The researcher is also constrained by the data needs of both the model as well as the network type; for example in order to predict a realised network one needs additional community/population level data (</w:t>
      </w:r>
      <w:r>
        <w:rPr>
          <w:iCs/>
          <w:i/>
        </w:rPr>
        <w:t xml:space="preserve">e.g.,</w:t>
      </w:r>
      <w:r>
        <w:t xml:space="preserve"> </w:t>
      </w:r>
      <w:r>
        <w:t xml:space="preserve">abundance), making metawebs a more feasible choice in data-poor contexts (</w:t>
      </w:r>
      <w:r>
        <w:rPr>
          <w:iCs/>
          <w:i/>
        </w:rPr>
        <w:t xml:space="preserve">e.g.,</w:t>
      </w:r>
      <w:r>
        <w:t xml:space="preserve"> </w:t>
      </w:r>
      <w:r>
        <w:t xml:space="preserve">[17]</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Cs/>
          <w:i/>
        </w:rPr>
        <w:t xml:space="preserve">e.g.,</w:t>
      </w:r>
      <w:r>
        <w:t xml:space="preserve">] or to predict a network for a specific community at a specific location. It is these three points that will ultimately dictate which model is going to best allow one to predict the appropriate network.</w:t>
      </w:r>
    </w:p>
    <w:bookmarkStart w:id="33"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(at least in absolute terms),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of network connectance (</w:t>
      </w:r>
      <w:r>
        <w:rPr>
          <w:iCs/>
          <w:i/>
        </w:rPr>
        <w:t xml:space="preserve">e.g.,</w:t>
      </w:r>
      <w:r>
        <w:t xml:space="preserve"> </w:t>
      </w:r>
      <w:r>
        <w:t xml:space="preserve">the niche model</w:t>
      </w:r>
      <w:r>
        <w:t xml:space="preserve"> </w:t>
      </w:r>
      <w:r>
        <w:t xml:space="preserve">[9]</w:t>
      </w:r>
      <w:r>
        <w:t xml:space="preserve">; although see</w:t>
      </w:r>
      <w:r>
        <w:t xml:space="preserve"> </w:t>
      </w:r>
      <w:r>
        <w:t xml:space="preserve">[42]</w:t>
      </w:r>
      <w:r>
        <w:t xml:space="preserve"> </w:t>
      </w:r>
      <w:r>
        <w:t xml:space="preserve">for a parameter-free model) or other structural features of a</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[43]</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[44]</w:t>
      </w:r>
      <w:r>
        <w:t xml:space="preserve">.</w:t>
      </w:r>
    </w:p>
    <w:bookmarkEnd w:id="33"/>
    <w:bookmarkStart w:id="37"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w:t>
      </w:r>
      <w:r>
        <w:t xml:space="preserve"> </w:t>
      </w:r>
      <w:hyperlink w:anchor="tbl-families">
        <w:r>
          <w:rPr>
            <w:rStyle w:val="Hyperlink"/>
          </w:rPr>
          <w:t xml:space="preserve">Table 1</w:t>
        </w:r>
      </w:hyperlink>
      <w:r>
        <w:t xml:space="preserve">,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).A more extensive overview of the different models that fall with in the different model families can be found in</w:t>
      </w:r>
      <w:r>
        <w:t xml:space="preserve"> </w:t>
      </w:r>
      <w:hyperlink r:id="rId34">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5">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 w:name="tbl-families"/>
          <w:p>
            <w:pPr>
              <w:jc w:val="center"/>
            </w:pPr>
            <w:pPr>
              <w:jc w:val="start"/>
              <w:spacing w:before="200"/>
              <w:pStyle w:val="ImageCaption"/>
            </w:pPr>
            <w:r>
              <w:t xml:space="preserve">Table 1: A summary of the different families of tools that can be used to generate food webs.</w:t>
            </w:r>
          </w:p>
          <w:tbl>
            <w:tblPr>
              <w:tblStyle w:val="Table"/>
              <w:tblW w:type="pct" w:w="5000"/>
              <w:tblLook w:firstRow="1" w:lastRow="0" w:firstColumn="0" w:lastColumn="0" w:noHBand="0" w:noVBand="0" w:val="0020"/>
              <w:jc w:val="start"/>
              <w:tblLayout w:type="fixed"/>
            </w:tblPr>
            <w:tblGrid>
              <w:gridCol w:w="1284"/>
              <w:gridCol w:w="1498"/>
              <w:gridCol w:w="1284"/>
              <w:gridCol w:w="1284"/>
              <w:gridCol w:w="1284"/>
              <w:gridCol w:w="1284"/>
            </w:tblGrid>
            <w:tr>
              <w:trPr>
                <w:tblHeader w:val="true"/>
              </w:trPr>
              <w:tc>
                <w:tcPr/>
                <w:p>
                  <w:pPr>
                    <w:pStyle w:val="Compact"/>
                    <w:jc w:val="left"/>
                    <w:jc w:val="center"/>
                  </w:pPr>
                  <w:r>
                    <w:t xml:space="preserve">Model family</w:t>
                  </w:r>
                </w:p>
              </w:tc>
              <w:tc>
                <w:tcPr/>
                <w:p>
                  <w:pPr>
                    <w:pStyle w:val="Compact"/>
                    <w:jc w:val="left"/>
                    <w:jc w:val="center"/>
                  </w:pPr>
                  <w:r>
                    <w:t xml:space="preserve">Assumptions</w:t>
                  </w:r>
                </w:p>
              </w:tc>
              <w:tc>
                <w:tcPr/>
                <w:p>
                  <w:pPr>
                    <w:pStyle w:val="Compact"/>
                    <w:jc w:val="left"/>
                    <w:jc w:val="center"/>
                  </w:pPr>
                  <w:r>
                    <w:t xml:space="preserve">Data/process</w:t>
                  </w:r>
                </w:p>
              </w:tc>
              <w:tc>
                <w:tcPr/>
                <w:p>
                  <w:pPr>
                    <w:pStyle w:val="Compact"/>
                    <w:jc w:val="left"/>
                    <w:jc w:val="center"/>
                  </w:pPr>
                  <w:r>
                    <w:t xml:space="preserve">‘</w:t>
                  </w:r>
                  <w:r>
                    <w:t xml:space="preserve">Limitation</w:t>
                  </w:r>
                  <w:r>
                    <w:t xml:space="preserv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parameter assumptions</w:t>
                  </w:r>
                </w:p>
              </w:tc>
              <w:tc>
                <w:tcPr/>
                <w:p>
                  <w:pPr>
                    <w:pStyle w:val="Compact"/>
                    <w:jc w:val="left"/>
                    <w:jc w:val="center"/>
                  </w:pPr>
                  <w:r>
                    <w:t xml:space="preserve">structural network</w:t>
                  </w:r>
                </w:p>
              </w:tc>
              <w:tc>
                <w:tcPr/>
                <w:p>
                  <w:pPr>
                    <w:pStyle w:val="Compact"/>
                    <w:jc w:val="left"/>
                    <w:jc w:val="center"/>
                  </w:pPr>
                  <w:r>
                    <w:t xml:space="preserve">[28]</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jc w:val="left"/>
                    <w:jc w:val="center"/>
                  </w:pPr>
                  <w:r>
                    <w:t xml:space="preserve">[44]</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does not account for forbidden links in terms of evolutionary compatibility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[17]</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jc w:val="left"/>
                    <w:jc w:val="center"/>
                  </w:pPr>
                  <w:r>
                    <w:t xml:space="preserve">[45]</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[46]</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[47]</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does not account for forbidden links in terms of evolutionary compatibility or account for energy constraints</w:t>
                  </w:r>
                </w:p>
              </w:tc>
              <w:tc>
                <w:tcPr/>
                <w:p>
                  <w:pPr>
                    <w:pStyle w:val="Compact"/>
                    <w:jc w:val="left"/>
                    <w:jc w:val="center"/>
                  </w:pPr>
                  <w:r>
                    <w:t xml:space="preserve">co-occurrence network</w:t>
                  </w:r>
                </w:p>
              </w:tc>
              <w:tc>
                <w:tcPr/>
                <w:p>
                  <w:pPr>
                    <w:pStyle w:val="Compact"/>
                  </w:pPr>
                </w:p>
              </w:tc>
            </w:tr>
          </w:tbl>
          <w:bookmarkEnd w:id="36"/>
          <w:p/>
        </w:tc>
      </w:tr>
    </w:tbl>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[11,48]</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w:t>
      </w:r>
      <w:r>
        <w:t xml:space="preserve"> </w:t>
      </w:r>
      <w:r>
        <w:t xml:space="preserve">[49]</w:t>
      </w:r>
      <w:r>
        <w:t xml:space="preserve">, however networks that are constructed through either (most) empirical observations or through predictive means are fundamentally going to represent metawebs,</w:t>
      </w:r>
      <w:r>
        <w:t xml:space="preserve"> </w:t>
      </w:r>
      <w:r>
        <w:rPr>
          <w:iCs/>
          <w:i/>
        </w:rPr>
        <w:t xml:space="preserve">i.e.,</w:t>
      </w:r>
      <w:r>
        <w:t xml:space="preserve"> </w:t>
      </w:r>
      <w:r>
        <w:t xml:space="preserve">lack constrained links, a representation of structure, or energy flow…</w:t>
      </w:r>
    </w:p>
    <w:bookmarkEnd w:id="37"/>
    <w:bookmarkEnd w:id="38"/>
    <w:bookmarkStart w:id="43" w:name="making-progress-with-networks"/>
    <w:p>
      <w:pPr>
        <w:pStyle w:val="Heading1"/>
      </w:pPr>
      <w:r>
        <w:t xml:space="preserve">4. Making Progress with Networks</w:t>
      </w:r>
    </w:p>
    <w:bookmarkStart w:id="39" w:name="further-development-of-models-and-tools"/>
    <w:p>
      <w:pPr>
        <w:pStyle w:val="Heading2"/>
      </w:pPr>
      <w:r>
        <w:t xml:space="preserve">4.1 Further development of models and tools</w:t>
      </w:r>
    </w:p>
    <w:p>
      <w:pPr>
        <w:pStyle w:val="FirstParagraph"/>
      </w:pPr>
      <w:r>
        <w:t xml:space="preserve">As we show in</w:t>
      </w:r>
      <w:r>
        <w:t xml:space="preserve"> </w:t>
      </w:r>
      <w:hyperlink w:anchor="tbl-families">
        <w:r>
          <w:rPr>
            <w:rStyle w:val="Hyperlink"/>
          </w:rPr>
          <w:t xml:space="preserve">Table 1</w:t>
        </w:r>
      </w:hyperlink>
      <w:r>
        <w:t xml:space="preserve"> </w:t>
      </w: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[50]</w:t>
      </w:r>
      <w:r>
        <w:t xml:space="preserve">. This could be addressed either through the development of tools that do both (predict both interactions and structure), or it might be possible to do a ensemble modelling approach</w:t>
      </w:r>
      <w:r>
        <w:t xml:space="preserve"> </w:t>
      </w:r>
      <w:r>
        <w:t xml:space="preserve">[51]</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52]</w:t>
      </w:r>
      <w:r>
        <w:t xml:space="preserve">, although deciding exactly what is driving differences between local networks and the regional metaweb might not be that simple</w:t>
      </w:r>
      <w:r>
        <w:t xml:space="preserve"> </w:t>
      </w:r>
      <w:r>
        <w:t xml:space="preserve">[53]</w:t>
      </w:r>
      <w:r>
        <w:t xml:space="preserve">. Probably also something that aligns with trying to predict interaction strength - because that would be the gold standard. Probably also worth just plainly stating that feasibility of developing a model that is both broadly generalisable, but also cas local specificity is probably not attainable</w:t>
      </w:r>
      <w:r>
        <w:t xml:space="preserve"> </w:t>
      </w:r>
      <w:r>
        <w:t xml:space="preserve">[54]</w:t>
      </w:r>
    </w:p>
    <w:bookmarkEnd w:id="39"/>
    <w:bookmarkStart w:id="40" w:name="X044dc8cbe3f6b85dbfed09f7879e2a0536cfa75"/>
    <w:p>
      <w:pPr>
        <w:pStyle w:val="Heading2"/>
      </w:pPr>
      <w:r>
        <w:t xml:space="preserve">4.2 At what scale should we be predicting/using networks?</w:t>
      </w:r>
    </w:p>
    <w:p>
      <w:pPr>
        <w:pStyle w:val="FirstParagraph"/>
      </w:pPr>
      <w:r>
        <w:t xml:space="preserve">Look at</w:t>
      </w:r>
      <w:r>
        <w:t xml:space="preserve"> </w:t>
      </w:r>
      <w:r>
        <w:t xml:space="preserve">[55]</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[56]</w:t>
      </w:r>
      <w:r>
        <w:t xml:space="preserve">. This is important because it can influence the inferences made,</w:t>
      </w:r>
      <w:r>
        <w:t xml:space="preserve"> </w:t>
      </w:r>
      <w:r>
        <w:rPr>
          <w:iCs/>
          <w:i/>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[57]</w:t>
      </w:r>
      <w:r>
        <w:t xml:space="preserve">. There is also a bit of an interplay with time and data and the different scales that they may be integrated at - co-occurrence may span decades and just because two species have been recorded in teh same space does not mean it was at the same timescale</w:t>
      </w:r>
      <w:r>
        <w:t xml:space="preserve"> </w:t>
      </w:r>
      <w:r>
        <w:t xml:space="preserve">[58]</w:t>
      </w:r>
    </w:p>
    <w:bookmarkEnd w:id="40"/>
    <w:bookmarkStart w:id="41"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59]</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[60]</w:t>
      </w:r>
      <w:r>
        <w:t xml:space="preserve"> </w:t>
      </w:r>
      <w:r>
        <w:t xml:space="preserve">presents a set of guidelines for assessing how well a model recovers pairwise interactions but we lack any clear strategies for benchmarking structure.</w:t>
      </w:r>
    </w:p>
    <w:bookmarkEnd w:id="41"/>
    <w:bookmarkStart w:id="42" w:name="feasible-realised-or-sustainable"/>
    <w:p>
      <w:pPr>
        <w:pStyle w:val="Heading2"/>
      </w:pPr>
      <w:r>
        <w:t xml:space="preserve">4.4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feasible networks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[61–63]</w:t>
      </w:r>
      <w:r>
        <w:t xml:space="preserve"> </w:t>
      </w:r>
      <w:r>
        <w:t xml:space="preserve">is addressing, but again it is integrating this with the feasible/realised axis.</w:t>
      </w:r>
    </w:p>
    <w:bookmarkEnd w:id="42"/>
    <w:bookmarkEnd w:id="43"/>
    <w:bookmarkStart w:id="44"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[64]</w:t>
      </w:r>
      <w:r>
        <w:t xml:space="preserve"> </w:t>
      </w:r>
      <w:r>
        <w:t xml:space="preserve">might have (and share) some thoughts on this. I feel like I need to look at</w:t>
      </w:r>
      <w:r>
        <w:t xml:space="preserve"> </w:t>
      </w:r>
      <w:r>
        <w:t xml:space="preserve">[65]</w:t>
      </w:r>
      <w:r>
        <w:t xml:space="preserve"> </w:t>
      </w:r>
      <w:r>
        <w:t xml:space="preserve">but maybe not exactly in this context but vaguely adjacent. This is sort of the crux of the argument presented in</w:t>
      </w:r>
      <w:r>
        <w:t xml:space="preserve"> </w:t>
      </w:r>
      <w:r>
        <w:t xml:space="preserve">[58]</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0"/>
          <w:numId w:val="1002"/>
        </w:numPr>
        <w:pStyle w:val="Compact"/>
      </w:pPr>
      <w:r>
        <w:t xml:space="preserve">The</w:t>
      </w:r>
      <w:r>
        <w:t xml:space="preserve"> </w:t>
      </w:r>
      <w:r>
        <w:t xml:space="preserve">[66]</w:t>
      </w:r>
      <w:r>
        <w:t xml:space="preserve"> </w:t>
      </w:r>
      <w:r>
        <w:t xml:space="preserve">paper looks at some methods but is specifically looking at a bipartite world…</w:t>
      </w:r>
    </w:p>
    <w:bookmarkEnd w:id="44"/>
    <w:bookmarkStart w:id="174" w:name="references"/>
    <w:p>
      <w:pPr>
        <w:pStyle w:val="Heading1"/>
      </w:pPr>
      <w:r>
        <w:t xml:space="preserve">References</w:t>
      </w:r>
    </w:p>
    <w:bookmarkStart w:id="173" w:name="refs"/>
    <w:bookmarkStart w:id="46"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3">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4"/>
    <w:bookmarkStart w:id="56"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5">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6"/>
    <w:bookmarkStart w:id="58"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7">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8"/>
    <w:bookmarkStart w:id="60" w:name="Xf1526616b81e2f92af827aa5b123838b8d56bfd"/>
    <w:p>
      <w:pPr>
        <w:pStyle w:val="Bibliography"/>
      </w:pPr>
      <w:r>
        <w:t xml:space="preserve">8.</w:t>
      </w:r>
      <w:r>
        <w:t xml:space="preserve"> </w:t>
      </w:r>
      <w:r>
        <w:t xml:space="preserve">	</w:t>
      </w:r>
      <w:r>
        <w:t xml:space="preserve">Yodzis, P. (1982)</w:t>
      </w:r>
      <w:r>
        <w:t xml:space="preserve"> </w:t>
      </w:r>
      <w:hyperlink r:id="rId59">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60"/>
    <w:bookmarkStart w:id="62" w:name="ref-williamsSimpleRulesYield2000"/>
    <w:p>
      <w:pPr>
        <w:pStyle w:val="Bibliography"/>
      </w:pPr>
      <w:r>
        <w:t xml:space="preserve">9.</w:t>
      </w:r>
      <w:r>
        <w:t xml:space="preserve"> </w:t>
      </w:r>
      <w:r>
        <w:t xml:space="preserve">	</w:t>
      </w:r>
      <w:r>
        <w:t xml:space="preserve">Williams, R.J. and Martinez, N.D. (2000)</w:t>
      </w:r>
      <w:r>
        <w:t xml:space="preserve"> </w:t>
      </w:r>
      <w:hyperlink r:id="rId61">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2"/>
    <w:bookmarkStart w:id="64" w:name="X1e400912f73fb757a731e54197f38b81e74f066"/>
    <w:p>
      <w:pPr>
        <w:pStyle w:val="Bibliography"/>
      </w:pPr>
      <w:r>
        <w:t xml:space="preserve">10.</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3">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4"/>
    <w:bookmarkStart w:id="66" w:name="ref-pringleUntanglingFoodWebs2020"/>
    <w:p>
      <w:pPr>
        <w:pStyle w:val="Bibliography"/>
      </w:pPr>
      <w:r>
        <w:t xml:space="preserve">11.</w:t>
      </w:r>
      <w:r>
        <w:t xml:space="preserve"> </w:t>
      </w:r>
      <w:r>
        <w:t xml:space="preserve">	</w:t>
      </w:r>
      <w:r>
        <w:t xml:space="preserve">Pringle, R.M. (2020)</w:t>
      </w:r>
      <w:r>
        <w:t xml:space="preserve"> </w:t>
      </w:r>
      <w:hyperlink r:id="rId65">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6"/>
    <w:bookmarkStart w:id="67"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7"/>
    <w:bookmarkStart w:id="69" w:name="Xe227781537312aad81566d289906b7942bbcf13"/>
    <w:p>
      <w:pPr>
        <w:pStyle w:val="Bibliography"/>
      </w:pPr>
      <w:r>
        <w:t xml:space="preserve">13.</w:t>
      </w:r>
      <w:r>
        <w:t xml:space="preserve"> </w:t>
      </w:r>
      <w:r>
        <w:t xml:space="preserve">	</w:t>
      </w:r>
      <w:r>
        <w:t xml:space="preserve">Lindeman, R.L. (1942)</w:t>
      </w:r>
      <w:r>
        <w:t xml:space="preserve"> </w:t>
      </w:r>
      <w:hyperlink r:id="rId68">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9"/>
    <w:bookmarkStart w:id="71" w:name="Xaad5d089781464e09d30bec824bd68c468804d7"/>
    <w:p>
      <w:pPr>
        <w:pStyle w:val="Bibliography"/>
      </w:pPr>
      <w:r>
        <w:t xml:space="preserve">14.</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0">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1"/>
    <w:bookmarkStart w:id="73" w:name="X41e90cde2344b49d6920f05c9ac1f9a5dcba573"/>
    <w:p>
      <w:pPr>
        <w:pStyle w:val="Bibliography"/>
      </w:pPr>
      <w:r>
        <w:t xml:space="preserve">15.</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72">
        <w:r>
          <w:rPr>
            <w:rStyle w:val="Hyperlink"/>
          </w:rPr>
          <w:t xml:space="preserve">Deciphering probabilistic species interaction networks</w:t>
        </w:r>
      </w:hyperlink>
      <w:r>
        <w:t xml:space="preserve">EcoEvoRxiv</w:t>
      </w:r>
    </w:p>
    <w:bookmarkEnd w:id="73"/>
    <w:bookmarkStart w:id="75" w:name="ref-berlowInteractionStrengthsFood2004"/>
    <w:p>
      <w:pPr>
        <w:pStyle w:val="Bibliography"/>
      </w:pPr>
      <w:r>
        <w:t xml:space="preserve">16.</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4">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5"/>
    <w:bookmarkStart w:id="77" w:name="ref-strydomGraphEmbeddingTransfer2023"/>
    <w:p>
      <w:pPr>
        <w:pStyle w:val="Bibliography"/>
      </w:pPr>
      <w:r>
        <w:t xml:space="preserve">17.</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76">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7"/>
    <w:bookmarkStart w:id="78" w:name="ref-bitonInductiveLinkPrediction2024"/>
    <w:p>
      <w:pPr>
        <w:pStyle w:val="Bibliography"/>
      </w:pPr>
      <w:r>
        <w:t xml:space="preserve">18.</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78"/>
    <w:bookmarkStart w:id="79" w:name="ref-stockPairwiseLearningPredicting2021"/>
    <w:p>
      <w:pPr>
        <w:pStyle w:val="Bibliography"/>
      </w:pPr>
      <w:r>
        <w:t xml:space="preserve">19.</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79"/>
    <w:bookmarkStart w:id="81" w:name="ref-segarRoleEvolutionShaping2020"/>
    <w:p>
      <w:pPr>
        <w:pStyle w:val="Bibliography"/>
      </w:pPr>
      <w:r>
        <w:t xml:space="preserve">20.</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80">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81"/>
    <w:bookmarkStart w:id="83" w:name="ref-gomezEcologicalInteractionsAre2010"/>
    <w:p>
      <w:pPr>
        <w:pStyle w:val="Bibliography"/>
      </w:pPr>
      <w:r>
        <w:t xml:space="preserve">21.</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2">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3"/>
    <w:bookmarkStart w:id="85" w:name="Xb3b6534bc80dc64b51dd5a3b4d335b302bedbee"/>
    <w:p>
      <w:pPr>
        <w:pStyle w:val="Bibliography"/>
      </w:pPr>
      <w:r>
        <w:t xml:space="preserve">22.</w:t>
      </w:r>
      <w:r>
        <w:t xml:space="preserve"> </w:t>
      </w:r>
      <w:r>
        <w:t xml:space="preserve">	</w:t>
      </w:r>
      <w:r>
        <w:t xml:space="preserve">Dalla Riva, G.V. and Stouffer, D.B. (2016)</w:t>
      </w:r>
      <w:r>
        <w:t xml:space="preserve"> </w:t>
      </w:r>
      <w:hyperlink r:id="rId84">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5"/>
    <w:bookmarkStart w:id="87" w:name="ref-strydomFoodWebReconstruction2022"/>
    <w:p>
      <w:pPr>
        <w:pStyle w:val="Bibliography"/>
      </w:pPr>
      <w:r>
        <w:t xml:space="preserve">23.</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86">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7"/>
    <w:bookmarkStart w:id="89" w:name="ref-frickeCollapseTerrestrialMammal2022"/>
    <w:p>
      <w:pPr>
        <w:pStyle w:val="Bibliography"/>
      </w:pPr>
      <w:r>
        <w:t xml:space="preserve">24.</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8">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9"/>
    <w:bookmarkStart w:id="91" w:name="ref-blanchetCooccurrenceNotEvidence2020"/>
    <w:p>
      <w:pPr>
        <w:pStyle w:val="Bibliography"/>
      </w:pPr>
      <w:r>
        <w:t xml:space="preserve">25.</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90">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91"/>
    <w:bookmarkStart w:id="93" w:name="ref-higinoMismatchIUCNRange2023"/>
    <w:p>
      <w:pPr>
        <w:pStyle w:val="Bibliography"/>
      </w:pPr>
      <w:r>
        <w:t xml:space="preserve">26.</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3"/>
    <w:bookmarkStart w:id="95" w:name="X8f3d1de04516835fd1376e2647a281b763af4fc"/>
    <w:p>
      <w:pPr>
        <w:pStyle w:val="Bibliography"/>
      </w:pPr>
      <w:r>
        <w:t xml:space="preserve">27.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5"/>
    <w:bookmarkStart w:id="97" w:name="X148151be55fae469550d414afe81ac309261681"/>
    <w:p>
      <w:pPr>
        <w:pStyle w:val="Bibliography"/>
      </w:pPr>
      <w:r>
        <w:t xml:space="preserve">28.</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7"/>
    <w:bookmarkStart w:id="99" w:name="ref-momalTreebasedInferenceSpecies2020"/>
    <w:p>
      <w:pPr>
        <w:pStyle w:val="Bibliography"/>
      </w:pPr>
      <w:r>
        <w:t xml:space="preserve">29.</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8">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99"/>
    <w:bookmarkStart w:id="101" w:name="ref-poisotSpeciesWhyEcological2015"/>
    <w:p>
      <w:pPr>
        <w:pStyle w:val="Bibliography"/>
      </w:pPr>
      <w:r>
        <w:t xml:space="preserve">30.</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0">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1"/>
    <w:bookmarkStart w:id="103" w:name="ref-cherifEnvironmentRescueCan2024"/>
    <w:p>
      <w:pPr>
        <w:pStyle w:val="Bibliography"/>
      </w:pPr>
      <w:r>
        <w:t xml:space="preserve">31.</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2">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3"/>
    <w:bookmarkStart w:id="105" w:name="X0c2a588d4c668aa5d8efe715af4b32a452d7f80"/>
    <w:p>
      <w:pPr>
        <w:pStyle w:val="Bibliography"/>
      </w:pPr>
      <w:r>
        <w:t xml:space="preserve">32.</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4">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5"/>
    <w:bookmarkStart w:id="107" w:name="ref-beckermanForagingBiologyPredicts2006"/>
    <w:p>
      <w:pPr>
        <w:pStyle w:val="Bibliography"/>
      </w:pPr>
      <w:r>
        <w:t xml:space="preserve">33.</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06">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07"/>
    <w:bookmarkStart w:id="109" w:name="ref-petcheySizeForagingFood2008"/>
    <w:p>
      <w:pPr>
        <w:pStyle w:val="Bibliography"/>
      </w:pPr>
      <w:r>
        <w:t xml:space="preserve">34.</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08">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09"/>
    <w:bookmarkStart w:id="111" w:name="ref-woottonModularTheoryTrophic2023"/>
    <w:p>
      <w:pPr>
        <w:pStyle w:val="Bibliography"/>
      </w:pPr>
      <w:r>
        <w:t xml:space="preserve">35.</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10">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11"/>
    <w:bookmarkStart w:id="113" w:name="X5c34a2e64ad17132523b815ad511dc881809961"/>
    <w:p>
      <w:pPr>
        <w:pStyle w:val="Bibliography"/>
      </w:pPr>
      <w:r>
        <w:t xml:space="preserve">36.</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12">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13"/>
    <w:bookmarkStart w:id="115" w:name="ref-golubskiModifyingModifiersWhat2011"/>
    <w:p>
      <w:pPr>
        <w:pStyle w:val="Bibliography"/>
      </w:pPr>
      <w:r>
        <w:t xml:space="preserve">37.</w:t>
      </w:r>
      <w:r>
        <w:t xml:space="preserve"> </w:t>
      </w:r>
      <w:r>
        <w:t xml:space="preserve">	</w:t>
      </w:r>
      <w:r>
        <w:t xml:space="preserve">Golubski, A.J. and Abrams, P.A. (2011)</w:t>
      </w:r>
      <w:r>
        <w:t xml:space="preserve"> </w:t>
      </w:r>
      <w:hyperlink r:id="rId114">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15"/>
    <w:bookmarkStart w:id="117" w:name="Xce61f9463b8a9f3b89eeb4518bbe3b5ec8b2ca7"/>
    <w:p>
      <w:pPr>
        <w:pStyle w:val="Bibliography"/>
      </w:pPr>
      <w:r>
        <w:t xml:space="preserve">38.</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6">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7"/>
    <w:bookmarkStart w:id="119" w:name="ref-kefiMoreMealIntegrating2012"/>
    <w:p>
      <w:pPr>
        <w:pStyle w:val="Bibliography"/>
      </w:pPr>
      <w:r>
        <w:t xml:space="preserve">39.</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8">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19"/>
    <w:bookmarkStart w:id="121" w:name="ref-kefiNetworkStructureFood2015"/>
    <w:p>
      <w:pPr>
        <w:pStyle w:val="Bibliography"/>
      </w:pPr>
      <w:r>
        <w:t xml:space="preserve">40.</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20">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21"/>
    <w:bookmarkStart w:id="123" w:name="ref-caronTraitmatchingModelsPredict2024"/>
    <w:p>
      <w:pPr>
        <w:pStyle w:val="Bibliography"/>
      </w:pPr>
      <w:r>
        <w:t xml:space="preserve">41.</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22">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23"/>
    <w:bookmarkStart w:id="125" w:name="ref-allesinaFoodWebModels2009"/>
    <w:p>
      <w:pPr>
        <w:pStyle w:val="Bibliography"/>
      </w:pPr>
      <w:r>
        <w:t xml:space="preserve">42.</w:t>
      </w:r>
      <w:r>
        <w:t xml:space="preserve"> </w:t>
      </w:r>
      <w:r>
        <w:t xml:space="preserve">	</w:t>
      </w:r>
      <w:r>
        <w:t xml:space="preserve">Allesina, S. and Pascual, M. (2009)</w:t>
      </w:r>
      <w:r>
        <w:t xml:space="preserve"> </w:t>
      </w:r>
      <w:hyperlink r:id="rId124">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25"/>
    <w:bookmarkStart w:id="127" w:name="X88f1d6f63b0836bbf1d6ae3f885d8fb9f247ff3"/>
    <w:p>
      <w:pPr>
        <w:pStyle w:val="Bibliography"/>
      </w:pPr>
      <w:r>
        <w:t xml:space="preserve">43.</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26">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27"/>
    <w:bookmarkStart w:id="129" w:name="ref-williamsSuccessItsLimits2008"/>
    <w:p>
      <w:pPr>
        <w:pStyle w:val="Bibliography"/>
      </w:pPr>
      <w:r>
        <w:t xml:space="preserve">44.</w:t>
      </w:r>
      <w:r>
        <w:t xml:space="preserve"> </w:t>
      </w:r>
      <w:r>
        <w:t xml:space="preserve">	</w:t>
      </w:r>
      <w:r>
        <w:t xml:space="preserve">Williams, R.J. and Martinez, N.D. (2008)</w:t>
      </w:r>
      <w:r>
        <w:t xml:space="preserve"> </w:t>
      </w:r>
      <w:hyperlink r:id="rId128">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29"/>
    <w:bookmarkStart w:id="131" w:name="X9a5602d39772ae027b885bf5c9cb3d36ba71c0c"/>
    <w:p>
      <w:pPr>
        <w:pStyle w:val="Bibliography"/>
      </w:pPr>
      <w:r>
        <w:t xml:space="preserve">45.</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30">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31"/>
    <w:bookmarkStart w:id="133" w:name="ref-pichlerMachineLearningAlgorithms2020"/>
    <w:p>
      <w:pPr>
        <w:pStyle w:val="Bibliography"/>
      </w:pPr>
      <w:r>
        <w:t xml:space="preserve">46.</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2">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3"/>
    <w:bookmarkStart w:id="135" w:name="ref-poisotSyntheticDatasetsCommunity2016"/>
    <w:p>
      <w:pPr>
        <w:pStyle w:val="Bibliography"/>
      </w:pPr>
      <w:r>
        <w:t xml:space="preserve">47.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34">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35"/>
    <w:bookmarkStart w:id="137" w:name="ref-pringleResolvingFoodWebStructure2020"/>
    <w:p>
      <w:pPr>
        <w:pStyle w:val="Bibliography"/>
      </w:pPr>
      <w:r>
        <w:t xml:space="preserve">48.</w:t>
      </w:r>
      <w:r>
        <w:t xml:space="preserve"> </w:t>
      </w:r>
      <w:r>
        <w:t xml:space="preserve">	</w:t>
      </w:r>
      <w:r>
        <w:t xml:space="preserve">Pringle, R.M. and Hutchinson, M.C. (2020)</w:t>
      </w:r>
      <w:r>
        <w:t xml:space="preserve"> </w:t>
      </w:r>
      <w:hyperlink r:id="rId136">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37"/>
    <w:bookmarkStart w:id="139" w:name="ref-dunnSixthMassCoextinction2009"/>
    <w:p>
      <w:pPr>
        <w:pStyle w:val="Bibliography"/>
      </w:pPr>
      <w:r>
        <w:t xml:space="preserve">49.</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38">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39"/>
    <w:bookmarkStart w:id="141" w:name="ref-strydomRoadmapPredictingSpecies2021"/>
    <w:p>
      <w:pPr>
        <w:pStyle w:val="Bibliography"/>
      </w:pPr>
      <w:r>
        <w:t xml:space="preserve">50.</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40">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41"/>
    <w:bookmarkStart w:id="143" w:name="ref-beckerOptimisingPredictiveModels2022"/>
    <w:p>
      <w:pPr>
        <w:pStyle w:val="Bibliography"/>
      </w:pPr>
      <w:r>
        <w:t xml:space="preserve">51.</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42">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43"/>
    <w:bookmarkStart w:id="145" w:name="X0db465d2ec8683a81b001c1b3069bfe5ad58a88"/>
    <w:p>
      <w:pPr>
        <w:pStyle w:val="Bibliography"/>
      </w:pPr>
      <w:r>
        <w:t xml:space="preserve">52.</w:t>
      </w:r>
      <w:r>
        <w:t xml:space="preserve"> </w:t>
      </w:r>
      <w:r>
        <w:t xml:space="preserve">	</w:t>
      </w:r>
      <w:r>
        <w:t xml:space="preserve">Roopnarine, P.D. (2006)</w:t>
      </w:r>
      <w:r>
        <w:t xml:space="preserve"> </w:t>
      </w:r>
      <w:hyperlink r:id="rId144">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45"/>
    <w:bookmarkStart w:id="147" w:name="ref-saraviaEcologicalNetworkAssembly2022"/>
    <w:p>
      <w:pPr>
        <w:pStyle w:val="Bibliography"/>
      </w:pPr>
      <w:r>
        <w:t xml:space="preserve">53.</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6">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7"/>
    <w:bookmarkStart w:id="149" w:name="ref-stoufferAllEcologicalModels2019"/>
    <w:p>
      <w:pPr>
        <w:pStyle w:val="Bibliography"/>
      </w:pPr>
      <w:r>
        <w:t xml:space="preserve">54.</w:t>
      </w:r>
      <w:r>
        <w:t xml:space="preserve"> </w:t>
      </w:r>
      <w:r>
        <w:t xml:space="preserve">	</w:t>
      </w:r>
      <w:r>
        <w:t xml:space="preserve">Stouffer, D.B. (2019)</w:t>
      </w:r>
      <w:r>
        <w:t xml:space="preserve"> </w:t>
      </w:r>
      <w:hyperlink r:id="rId148">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49"/>
    <w:bookmarkStart w:id="151" w:name="ref-hutchinsonSeeingForestTrees2019"/>
    <w:p>
      <w:pPr>
        <w:pStyle w:val="Bibliography"/>
      </w:pPr>
      <w:r>
        <w:t xml:space="preserve">55.</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50">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51"/>
    <w:bookmarkStart w:id="152" w:name="ref-estayEditorialPatternsProcesses2023"/>
    <w:p>
      <w:pPr>
        <w:pStyle w:val="Bibliography"/>
      </w:pPr>
      <w:r>
        <w:t xml:space="preserve">56.</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52"/>
    <w:bookmarkStart w:id="154" w:name="ref-rooneyLandscapeTheoryFood2008"/>
    <w:p>
      <w:pPr>
        <w:pStyle w:val="Bibliography"/>
      </w:pPr>
      <w:r>
        <w:t xml:space="preserve">57.</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53">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54"/>
    <w:bookmarkStart w:id="156" w:name="ref-brimacombeApplyingMethodIts2024"/>
    <w:p>
      <w:pPr>
        <w:pStyle w:val="Bibliography"/>
      </w:pPr>
      <w:r>
        <w:t xml:space="preserve">58.</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55">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56"/>
    <w:bookmarkStart w:id="158" w:name="X0cd8b1b2c315f3e3186e0dbbf2fc454fbc2ad9d"/>
    <w:p>
      <w:pPr>
        <w:pStyle w:val="Bibliography"/>
      </w:pPr>
      <w:r>
        <w:t xml:space="preserve">59.</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157">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158"/>
    <w:bookmarkStart w:id="160" w:name="X023758d2a089016cd8f0c9d2421079cf7d062ff"/>
    <w:p>
      <w:pPr>
        <w:pStyle w:val="Bibliography"/>
      </w:pPr>
      <w:r>
        <w:t xml:space="preserve">60.</w:t>
      </w:r>
      <w:r>
        <w:t xml:space="preserve"> </w:t>
      </w:r>
      <w:r>
        <w:t xml:space="preserve">	</w:t>
      </w:r>
      <w:r>
        <w:t xml:space="preserve">Poisot, T. (2023)</w:t>
      </w:r>
      <w:r>
        <w:t xml:space="preserve"> </w:t>
      </w:r>
      <w:hyperlink r:id="rId159">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60"/>
    <w:bookmarkStart w:id="162" w:name="Xb74550f9527590a6ed7b0cf8bbc830e274eb739"/>
    <w:p>
      <w:pPr>
        <w:pStyle w:val="Bibliography"/>
      </w:pPr>
      <w:r>
        <w:t xml:space="preserve">61.</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161">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62"/>
    <w:bookmarkStart w:id="164" w:name="ref-delmasSimulationsBiomassDynamics2017"/>
    <w:p>
      <w:pPr>
        <w:pStyle w:val="Bibliography"/>
      </w:pPr>
      <w:r>
        <w:t xml:space="preserve">62.</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163">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164"/>
    <w:bookmarkStart w:id="166" w:name="Xe3e49d362cfe4dc69cf94913d43d3c00a90a030"/>
    <w:p>
      <w:pPr>
        <w:pStyle w:val="Bibliography"/>
      </w:pPr>
      <w:r>
        <w:t xml:space="preserve">63.</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65">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66"/>
    <w:bookmarkStart w:id="168" w:name="ref-petcheyFitEfficiencyBiology2011"/>
    <w:p>
      <w:pPr>
        <w:pStyle w:val="Bibliography"/>
      </w:pPr>
      <w:r>
        <w:t xml:space="preserve">64.</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67">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68"/>
    <w:bookmarkStart w:id="170" w:name="ref-berlowGoldilocksFactorFood2008"/>
    <w:p>
      <w:pPr>
        <w:pStyle w:val="Bibliography"/>
      </w:pPr>
      <w:r>
        <w:t xml:space="preserve">65.</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69">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70"/>
    <w:bookmarkStart w:id="172" w:name="ref-terryFindingMissingLinks2020"/>
    <w:p>
      <w:pPr>
        <w:pStyle w:val="Bibliography"/>
      </w:pPr>
      <w:r>
        <w:t xml:space="preserve">66.</w:t>
      </w:r>
      <w:r>
        <w:t xml:space="preserve"> </w:t>
      </w:r>
      <w:r>
        <w:t xml:space="preserve">	</w:t>
      </w:r>
      <w:r>
        <w:t xml:space="preserve">Terry, J.C.D. and Lewis, O.T. (2020)</w:t>
      </w:r>
      <w:r>
        <w:t xml:space="preserve"> </w:t>
      </w:r>
      <w:hyperlink r:id="rId171">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72"/>
    <w:bookmarkEnd w:id="173"/>
    <w:bookmarkEnd w:id="1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hyperlink" Id="rId34" Target="https://beckslab.github.io/ms_t_is_for_topology/notebooks/model_descriptions-preview.html" TargetMode="External" /><Relationship Type="http://schemas.openxmlformats.org/officeDocument/2006/relationships/hyperlink" Id="rId35"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71" Target="https://doi.org/10.1002/ecy.3047" TargetMode="External" /><Relationship Type="http://schemas.openxmlformats.org/officeDocument/2006/relationships/hyperlink" Id="rId142" Target="https://doi.org/10.1016/S2666-5247(21)00245-7" TargetMode="External" /><Relationship Type="http://schemas.openxmlformats.org/officeDocument/2006/relationships/hyperlink" Id="rId167"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30"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61" Target="https://doi.org/10.1038/35004572" TargetMode="External" /><Relationship Type="http://schemas.openxmlformats.org/officeDocument/2006/relationships/hyperlink" Id="rId112"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4" Target="https://doi.org/10.1038/nature11131" TargetMode="External" /><Relationship Type="http://schemas.openxmlformats.org/officeDocument/2006/relationships/hyperlink" Id="rId116" Target="https://doi.org/10.1038/s41559-017-0101" TargetMode="External" /><Relationship Type="http://schemas.openxmlformats.org/officeDocument/2006/relationships/hyperlink" Id="rId126" Target="https://doi.org/10.1038/s41598-017-05585-6" TargetMode="External" /><Relationship Type="http://schemas.openxmlformats.org/officeDocument/2006/relationships/hyperlink" Id="rId106" Target="https://doi.org/10.1073/pnas.0603039103" TargetMode="External" /><Relationship Type="http://schemas.openxmlformats.org/officeDocument/2006/relationships/hyperlink" Id="rId108" Target="https://doi.org/10.1073/pnas.0710672105" TargetMode="External" /><Relationship Type="http://schemas.openxmlformats.org/officeDocument/2006/relationships/hyperlink" Id="rId169" Target="https://doi.org/10.1073/pnas.0800967105" TargetMode="External" /><Relationship Type="http://schemas.openxmlformats.org/officeDocument/2006/relationships/hyperlink" Id="rId59" Target="https://doi.org/10.1086/284013" TargetMode="External" /><Relationship Type="http://schemas.openxmlformats.org/officeDocument/2006/relationships/hyperlink" Id="rId138" Target="https://doi.org/10.1098/rspb.2009.0413" TargetMode="External" /><Relationship Type="http://schemas.openxmlformats.org/officeDocument/2006/relationships/hyperlink" Id="rId140" Target="https://doi.org/10.1098/rstb.2021.0063" TargetMode="External" /><Relationship Type="http://schemas.openxmlformats.org/officeDocument/2006/relationships/hyperlink" Id="rId161" Target="https://doi.org/10.1101/2024.03.20.585899" TargetMode="External" /><Relationship Type="http://schemas.openxmlformats.org/officeDocument/2006/relationships/hyperlink" Id="rId51" Target="https://doi.org/10.1111/1365-2435.12763" TargetMode="External" /><Relationship Type="http://schemas.openxmlformats.org/officeDocument/2006/relationships/hyperlink" Id="rId150" Target="https://doi.org/10.1111/1365-2435.13237" TargetMode="External" /><Relationship Type="http://schemas.openxmlformats.org/officeDocument/2006/relationships/hyperlink" Id="rId110" Target="https://doi.org/10.1111/1365-2435.13954" TargetMode="External" /><Relationship Type="http://schemas.openxmlformats.org/officeDocument/2006/relationships/hyperlink" Id="rId165" Target="https://doi.org/10.1111/1365-2656.12892" TargetMode="External" /><Relationship Type="http://schemas.openxmlformats.org/officeDocument/2006/relationships/hyperlink" Id="rId148" Target="https://doi.org/10.1111/1365-2656.12949" TargetMode="External" /><Relationship Type="http://schemas.openxmlformats.org/officeDocument/2006/relationships/hyperlink" Id="rId146" Target="https://doi.org/10.1111/1365-2656.13652" TargetMode="External" /><Relationship Type="http://schemas.openxmlformats.org/officeDocument/2006/relationships/hyperlink" Id="rId94" Target="https://doi.org/10.1111/2041-210X.12180" TargetMode="External" /><Relationship Type="http://schemas.openxmlformats.org/officeDocument/2006/relationships/hyperlink" Id="rId163" Target="https://doi.org/10.1111/2041-210X.12713" TargetMode="External" /><Relationship Type="http://schemas.openxmlformats.org/officeDocument/2006/relationships/hyperlink" Id="rId132"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59" Target="https://doi.org/10.1111/2041-210X.14071" TargetMode="External" /><Relationship Type="http://schemas.openxmlformats.org/officeDocument/2006/relationships/hyperlink" Id="rId76" Target="https://doi.org/10.1111/2041-210X.14228" TargetMode="External" /><Relationship Type="http://schemas.openxmlformats.org/officeDocument/2006/relationships/hyperlink" Id="rId157" Target="https://doi.org/10.1111/brv.12433" TargetMode="External" /><Relationship Type="http://schemas.openxmlformats.org/officeDocument/2006/relationships/hyperlink" Id="rId102" Target="https://doi.org/10.1111/brv.13105" TargetMode="External" /><Relationship Type="http://schemas.openxmlformats.org/officeDocument/2006/relationships/hyperlink" Id="rId134" Target="https://doi.org/10.1111/ecog.01941" TargetMode="External" /><Relationship Type="http://schemas.openxmlformats.org/officeDocument/2006/relationships/hyperlink" Id="rId90" Target="https://doi.org/10.1111/ele.13525" TargetMode="External" /><Relationship Type="http://schemas.openxmlformats.org/officeDocument/2006/relationships/hyperlink" Id="rId53" Target="https://doi.org/10.1111/geb.13138" TargetMode="External" /><Relationship Type="http://schemas.openxmlformats.org/officeDocument/2006/relationships/hyperlink" Id="rId122"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28" Target="https://doi.org/10.1111/j.1365-2656.2008.01362.x" TargetMode="External" /><Relationship Type="http://schemas.openxmlformats.org/officeDocument/2006/relationships/hyperlink" Id="rId114" Target="https://doi.org/10.1111/j.1365-2656.2011.01852.x" TargetMode="External" /><Relationship Type="http://schemas.openxmlformats.org/officeDocument/2006/relationships/hyperlink" Id="rId153" Target="https://doi.org/10.1111/j.1461-0248.2008.01193.x" TargetMode="External" /><Relationship Type="http://schemas.openxmlformats.org/officeDocument/2006/relationships/hyperlink" Id="rId124" Target="https://doi.org/10.1111/j.1461-0248.2009.01321.x" TargetMode="External" /><Relationship Type="http://schemas.openxmlformats.org/officeDocument/2006/relationships/hyperlink" Id="rId118"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88" Target="https://doi.org/10.1126/science.abn4012" TargetMode="External" /><Relationship Type="http://schemas.openxmlformats.org/officeDocument/2006/relationships/hyperlink" Id="rId136" Target="https://doi.org/10.1146/annurev-ecolsys-110218-024908" TargetMode="External" /><Relationship Type="http://schemas.openxmlformats.org/officeDocument/2006/relationships/hyperlink" Id="rId155" Target="https://doi.org/10.13140/RG.2.2.22076.65927"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20"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72" Target="https://doi.org/10.32942/X28G8Z" TargetMode="External" /><Relationship Type="http://schemas.openxmlformats.org/officeDocument/2006/relationships/hyperlink" Id="rId92" Target="https://doi.org/10.7717/peerj.14620" TargetMode="External" /><Relationship Type="http://schemas.openxmlformats.org/officeDocument/2006/relationships/hyperlink" Id="rId144" Target="https://www.jstor.org/stable/4096814" TargetMode="External" /><Relationship Type="http://schemas.openxmlformats.org/officeDocument/2006/relationships/hyperlink" Id="rId5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4" Target="https://beckslab.github.io/ms_t_is_for_topology/notebooks/model_descriptions-preview.html" TargetMode="External" /><Relationship Type="http://schemas.openxmlformats.org/officeDocument/2006/relationships/hyperlink" Id="rId35"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71" Target="https://doi.org/10.1002/ecy.3047" TargetMode="External" /><Relationship Type="http://schemas.openxmlformats.org/officeDocument/2006/relationships/hyperlink" Id="rId142" Target="https://doi.org/10.1016/S2666-5247(21)00245-7" TargetMode="External" /><Relationship Type="http://schemas.openxmlformats.org/officeDocument/2006/relationships/hyperlink" Id="rId167"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30"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61" Target="https://doi.org/10.1038/35004572" TargetMode="External" /><Relationship Type="http://schemas.openxmlformats.org/officeDocument/2006/relationships/hyperlink" Id="rId112"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4" Target="https://doi.org/10.1038/nature11131" TargetMode="External" /><Relationship Type="http://schemas.openxmlformats.org/officeDocument/2006/relationships/hyperlink" Id="rId116" Target="https://doi.org/10.1038/s41559-017-0101" TargetMode="External" /><Relationship Type="http://schemas.openxmlformats.org/officeDocument/2006/relationships/hyperlink" Id="rId126" Target="https://doi.org/10.1038/s41598-017-05585-6" TargetMode="External" /><Relationship Type="http://schemas.openxmlformats.org/officeDocument/2006/relationships/hyperlink" Id="rId106" Target="https://doi.org/10.1073/pnas.0603039103" TargetMode="External" /><Relationship Type="http://schemas.openxmlformats.org/officeDocument/2006/relationships/hyperlink" Id="rId108" Target="https://doi.org/10.1073/pnas.0710672105" TargetMode="External" /><Relationship Type="http://schemas.openxmlformats.org/officeDocument/2006/relationships/hyperlink" Id="rId169" Target="https://doi.org/10.1073/pnas.0800967105" TargetMode="External" /><Relationship Type="http://schemas.openxmlformats.org/officeDocument/2006/relationships/hyperlink" Id="rId59" Target="https://doi.org/10.1086/284013" TargetMode="External" /><Relationship Type="http://schemas.openxmlformats.org/officeDocument/2006/relationships/hyperlink" Id="rId138" Target="https://doi.org/10.1098/rspb.2009.0413" TargetMode="External" /><Relationship Type="http://schemas.openxmlformats.org/officeDocument/2006/relationships/hyperlink" Id="rId140" Target="https://doi.org/10.1098/rstb.2021.0063" TargetMode="External" /><Relationship Type="http://schemas.openxmlformats.org/officeDocument/2006/relationships/hyperlink" Id="rId161" Target="https://doi.org/10.1101/2024.03.20.585899" TargetMode="External" /><Relationship Type="http://schemas.openxmlformats.org/officeDocument/2006/relationships/hyperlink" Id="rId51" Target="https://doi.org/10.1111/1365-2435.12763" TargetMode="External" /><Relationship Type="http://schemas.openxmlformats.org/officeDocument/2006/relationships/hyperlink" Id="rId150" Target="https://doi.org/10.1111/1365-2435.13237" TargetMode="External" /><Relationship Type="http://schemas.openxmlformats.org/officeDocument/2006/relationships/hyperlink" Id="rId110" Target="https://doi.org/10.1111/1365-2435.13954" TargetMode="External" /><Relationship Type="http://schemas.openxmlformats.org/officeDocument/2006/relationships/hyperlink" Id="rId165" Target="https://doi.org/10.1111/1365-2656.12892" TargetMode="External" /><Relationship Type="http://schemas.openxmlformats.org/officeDocument/2006/relationships/hyperlink" Id="rId148" Target="https://doi.org/10.1111/1365-2656.12949" TargetMode="External" /><Relationship Type="http://schemas.openxmlformats.org/officeDocument/2006/relationships/hyperlink" Id="rId146" Target="https://doi.org/10.1111/1365-2656.13652" TargetMode="External" /><Relationship Type="http://schemas.openxmlformats.org/officeDocument/2006/relationships/hyperlink" Id="rId94" Target="https://doi.org/10.1111/2041-210X.12180" TargetMode="External" /><Relationship Type="http://schemas.openxmlformats.org/officeDocument/2006/relationships/hyperlink" Id="rId163" Target="https://doi.org/10.1111/2041-210X.12713" TargetMode="External" /><Relationship Type="http://schemas.openxmlformats.org/officeDocument/2006/relationships/hyperlink" Id="rId132"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59" Target="https://doi.org/10.1111/2041-210X.14071" TargetMode="External" /><Relationship Type="http://schemas.openxmlformats.org/officeDocument/2006/relationships/hyperlink" Id="rId76" Target="https://doi.org/10.1111/2041-210X.14228" TargetMode="External" /><Relationship Type="http://schemas.openxmlformats.org/officeDocument/2006/relationships/hyperlink" Id="rId157" Target="https://doi.org/10.1111/brv.12433" TargetMode="External" /><Relationship Type="http://schemas.openxmlformats.org/officeDocument/2006/relationships/hyperlink" Id="rId102" Target="https://doi.org/10.1111/brv.13105" TargetMode="External" /><Relationship Type="http://schemas.openxmlformats.org/officeDocument/2006/relationships/hyperlink" Id="rId134" Target="https://doi.org/10.1111/ecog.01941" TargetMode="External" /><Relationship Type="http://schemas.openxmlformats.org/officeDocument/2006/relationships/hyperlink" Id="rId90" Target="https://doi.org/10.1111/ele.13525" TargetMode="External" /><Relationship Type="http://schemas.openxmlformats.org/officeDocument/2006/relationships/hyperlink" Id="rId53" Target="https://doi.org/10.1111/geb.13138" TargetMode="External" /><Relationship Type="http://schemas.openxmlformats.org/officeDocument/2006/relationships/hyperlink" Id="rId122"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28" Target="https://doi.org/10.1111/j.1365-2656.2008.01362.x" TargetMode="External" /><Relationship Type="http://schemas.openxmlformats.org/officeDocument/2006/relationships/hyperlink" Id="rId114" Target="https://doi.org/10.1111/j.1365-2656.2011.01852.x" TargetMode="External" /><Relationship Type="http://schemas.openxmlformats.org/officeDocument/2006/relationships/hyperlink" Id="rId153" Target="https://doi.org/10.1111/j.1461-0248.2008.01193.x" TargetMode="External" /><Relationship Type="http://schemas.openxmlformats.org/officeDocument/2006/relationships/hyperlink" Id="rId124" Target="https://doi.org/10.1111/j.1461-0248.2009.01321.x" TargetMode="External" /><Relationship Type="http://schemas.openxmlformats.org/officeDocument/2006/relationships/hyperlink" Id="rId118"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88" Target="https://doi.org/10.1126/science.abn4012" TargetMode="External" /><Relationship Type="http://schemas.openxmlformats.org/officeDocument/2006/relationships/hyperlink" Id="rId136" Target="https://doi.org/10.1146/annurev-ecolsys-110218-024908" TargetMode="External" /><Relationship Type="http://schemas.openxmlformats.org/officeDocument/2006/relationships/hyperlink" Id="rId155" Target="https://doi.org/10.13140/RG.2.2.22076.65927"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20"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72" Target="https://doi.org/10.32942/X28G8Z" TargetMode="External" /><Relationship Type="http://schemas.openxmlformats.org/officeDocument/2006/relationships/hyperlink" Id="rId92" Target="https://doi.org/10.7717/peerj.14620" TargetMode="External" /><Relationship Type="http://schemas.openxmlformats.org/officeDocument/2006/relationships/hyperlink" Id="rId144" Target="https://www.jstor.org/stable/4096814" TargetMode="External" /><Relationship Type="http://schemas.openxmlformats.org/officeDocument/2006/relationships/hyperlink" Id="rId5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2024-09-23T15:25:24Z</dcterms:created>
  <dcterms:modified xsi:type="dcterms:W3CDTF">2024-09-23T15:25:24Z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2024-09-23</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